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400425" cy="487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9" w:rsidRDefault="00F47FB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17C" w:rsidRDefault="00526379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1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Рабочая  п</w:t>
      </w:r>
      <w:r w:rsidR="00163F82" w:rsidRPr="00571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34CA6" w:rsidRPr="00571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ограмма по французскому языку</w:t>
      </w:r>
    </w:p>
    <w:p w:rsidR="007E6151" w:rsidRPr="005714B1" w:rsidRDefault="00D34CA6" w:rsidP="004F505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71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571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9 класс</w:t>
      </w:r>
    </w:p>
    <w:p w:rsidR="004F5050" w:rsidRPr="004F5050" w:rsidRDefault="004F5050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E6151" w:rsidRPr="004F5050" w:rsidRDefault="00D363B0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="00526379" w:rsidRPr="004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</w:t>
      </w:r>
      <w:r w:rsidR="007E6151" w:rsidRPr="004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526379" w:rsidRPr="004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основного общегообразования</w:t>
      </w:r>
      <w:r w:rsidRPr="004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французскому языку, которая составлена на основе</w:t>
      </w:r>
      <w:r w:rsidR="007E6151" w:rsidRPr="004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компонента государственного стандарта основного общего образования.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Цели обучения французскому языку</w:t>
      </w:r>
      <w:r w:rsidR="00555002" w:rsidRPr="004F5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0"/>
      </w:tblGrid>
      <w:tr w:rsidR="007E6151" w:rsidRPr="004F5050" w:rsidTr="000C39FC"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иноязычной </w:t>
            </w: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коммуникативной компетенции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речевая компетенция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7E6151" w:rsidRPr="004F5050" w:rsidRDefault="007E6151" w:rsidP="004F5050">
            <w:pPr>
              <w:widowControl w:val="0"/>
              <w:tabs>
                <w:tab w:val="left" w:pos="708"/>
                <w:tab w:val="left" w:pos="822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языковая компетенция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социокультурная компетенция 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компенсаторная компетенция – 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учебно-познавательная компетенция 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4D2C2B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и воспитание у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4D2C2B" w:rsidRP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Общая характеристика учебного предмета «Иностранный язык»</w:t>
            </w:r>
          </w:p>
          <w:p w:rsidR="0063703E" w:rsidRPr="004F5050" w:rsidRDefault="000557E3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французский) входит в общеобразовательнуюобласть «Филология». Язык является важнейшим средством общения, без которого невозможносуществование и развитие человеческого общества. Происхо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дящие сегодня изменения в обще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отношениях, средствах коммуникации (использо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новых информационных тех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нологий) требуют повышения коммуникативной компетенции школьников, совершенствованияих 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филологической подготовки. Все это повышает статус предмета «иностранный язык» какобщеобразовательной учебной дисциплины.Основное назначение иностранного языка состоит в формировании коммуникативнойкомпетенции, т.е. способности и готовности осуществлять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иноязычное межличностное и меж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общение с носителями языка. Иностранный язык как учебный предмет характеризуется</w:t>
            </w:r>
          </w:p>
          <w:p w:rsidR="004D2C2B" w:rsidRP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-межпредметностью (содержанием речи на инос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транном языке могут быть сведе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разных областей знания, например, литературы, искусст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истории, географии, матема-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и др.);</w:t>
            </w:r>
          </w:p>
          <w:p w:rsidR="004D2C2B" w:rsidRPr="004F5050" w:rsidRDefault="004F5050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многоуровневостью (с одной стороны необходимо овладение различными 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выми средствами, соотносящимися с аспектами языка: лекси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ческим, грамматическим, фонети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ческим, с другой - умениями в четырех видах речевой деятельности);</w:t>
            </w:r>
          </w:p>
          <w:p w:rsidR="004D2C2B" w:rsidRPr="004F5050" w:rsidRDefault="004F5050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полифункциональностью (может выступать как цель обучения и как ср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едство 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приобретения сведений в самых различных областях знания).</w:t>
            </w:r>
          </w:p>
          <w:p w:rsidR="004D2C2B" w:rsidRPr="004F5050" w:rsidRDefault="004D2C2B" w:rsidP="004F5050">
            <w:pPr>
              <w:widowControl w:val="0"/>
              <w:tabs>
                <w:tab w:val="left" w:pos="53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Являясь существенным элементом культуры народа – н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осителя данного языка и средст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передачи ее другим, иностранный язык способствует фо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рмированию у школьников целост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картины мира. Владение иностранным языком повышает 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гуманитарного образова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школьников, способствует формированию личности и ее 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адаптации к условиям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меняющегося поликультурного, полиязычного мира.</w:t>
            </w:r>
          </w:p>
          <w:p w:rsid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расширяет лингвистический круго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 учащихся, способствует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мированию культуры общения, содействует общему речевому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учащихся. В этом про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взаимодействие всех языковых учебных предмет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способствующих формированию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 филологического образования школьников.</w:t>
            </w:r>
          </w:p>
          <w:p w:rsidR="004F5050" w:rsidRDefault="000557E3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нацелена на реализацию лично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стно-ориентированного, коммуни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кативно-когнитивного, социокультурного деятельностного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к обучению иностранным </w:t>
            </w:r>
            <w:r w:rsidR="004D2C2B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r w:rsid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ыкам (в том числе французскому).</w:t>
            </w:r>
          </w:p>
          <w:p w:rsid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интегративной цели обучения ра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ссматривается формирование ино-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язычной коммуникативной компетенции, то есть способности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реальной готовности школьни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осуществлять иноязычное общения и добиваться взаимоп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онимания с носителями иностран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языка, а также развитие и воспитание школьников средствами учебного предмета.</w:t>
            </w:r>
          </w:p>
          <w:p w:rsidR="004D2C2B" w:rsidRP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Личностно-ориентированный подход, ставящий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центр учебно-воспитательного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личность ученика, учет его способностей, возможнос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и склонностей, предполагает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акцент на социокультурной составляющей иноязычн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коммуникативной компетенции.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должно обеспечить культуроведческую направленност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обучения, приобщение школьни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к культуре страны/стран изучаемого языка, лучшее осозн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культуры своей собственной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страны, умение ее представить средствами иностранного язы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включение школьников в диа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 культур.</w:t>
            </w:r>
          </w:p>
          <w:p w:rsid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иностранному языку (французскому) в 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школе должно обеспечи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преемственность с подготовкой учащихся в начальной школе. Дан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этап изучения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иностранного языка характеризуется наличием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значительны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изменений в развитии школьни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так как у них к моменту начала обучения в основн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школе существенно расширился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кругозор и общее представление о мире, сформированы элементарные к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оммуникативные уме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четырех видах речевой деятельности, а также обще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умения, необходимые для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иностранного языка как учебного предмета, накопл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ены некоторые знания о правилах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 поведения народном и иностранном языках. В этом воз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 у них появляется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самостоятельности и самоутверждению, фор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мируется избирательный познава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интерес.</w:t>
            </w:r>
          </w:p>
          <w:p w:rsid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усиливается значимость принцип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индивидуализации и дифферен-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циации обучения, большее значение приобретает использова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проектной методики и совре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менных технологий обучения иностранному языку (в том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 информационных). Все это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позволяет расширить связи французского языка с другими </w:t>
            </w:r>
            <w:r w:rsidR="000557E3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учебными предметами, способству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иноязычному общению школьников с учащимися из других классов и школ, например, входе проектной деятельности с ровесниками из других стран, в том числе и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Интернет,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содействует их социальной адаптации в современном ми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ре.</w:t>
            </w:r>
          </w:p>
          <w:p w:rsidR="0063703E" w:rsidRP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8-9 классах реальной становится предпрофильная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школьников  средства-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французского языка. На данной ступени языкового р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у школьников отмечаются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значительные возрастные и индивидуальные различия, которые должны учит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ываться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 отборе содержания, так и в использовании приемо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обучения. </w:t>
            </w:r>
          </w:p>
          <w:p w:rsidR="004F5050" w:rsidRP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завершению обучения в основной школе плани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руется достижение учащимися об-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щеевропейскогодопорогового уровня подготовки по иностр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анному языку (французскому язы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ку)(уровень А-2). Этот уровень дает возможность выпускни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 основной школы использовать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для продолжения образования на старше</w:t>
            </w:r>
            <w:r w:rsidR="0063703E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ступени в полной средней шко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ле, в специальных учебных заведениях и для дальнейшего самообразования.</w:t>
            </w:r>
          </w:p>
          <w:p w:rsidR="004D2C2B" w:rsidRP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места учебного предмета в учебном плане.</w:t>
            </w:r>
          </w:p>
          <w:p w:rsidR="00122CDA" w:rsidRPr="004F5050" w:rsidRDefault="004D2C2B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Представленная программа предусматривает изучение французского языка  с 8 по 9 класс из расчета 3 учебных часа в неделю. Таким образом, в каждой параллели основной школы 102 часа выделяется на французский язык.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личностным, метапредметным и предметным результатам освоения учебного предмета.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результаты: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мотивации к изучению иностранных языков и стремление к самосовершенствованию в образовательной области «Иностранный язык».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2.Осознание возможностей самореализации средствами французского языка.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3.Стремление к совершенствованию собственной речевой культуры в целом.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коммуникативной компетенции в межкультурной и этнической коммуникации.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5.Развитие таких качеств как воля, целеустемленность, креативность,  инициативность, эмпатия, трудолюбие, дисциплинированность.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6.Формирование общекультурной и этнической идентичности как составляющих гражданской идентичности личности.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7.Стремление к лучшему осознанию культуры своего народа и готовность к ознакомлению с ней представителей других стран, толерантное отношение к проявлениям иной культуры, осознание себя гражданином своей страны и мира.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 результаты:</w:t>
            </w:r>
          </w:p>
          <w:p w:rsidR="006E067D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умения планировать свое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речевое и неречевое поведение.</w:t>
            </w:r>
          </w:p>
          <w:p w:rsidR="00122CDA" w:rsidRPr="004F5050" w:rsidRDefault="006E067D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22CDA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122CDA" w:rsidRPr="004F5050" w:rsidRDefault="006E067D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22CDA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122CDA" w:rsidRPr="004F5050" w:rsidRDefault="006E067D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22CDA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122CDA" w:rsidRPr="004F5050" w:rsidRDefault="006E067D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22CDA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 коммуникативной сфере: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Диалогическая речь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совершенствование диалогической речи при более вариативном содержании и более разнообразном языко¬вом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диало¬га—от 3 реплик (5—7 классы) до 4—5 реплик (8—9 классы) со стороны каждого учащегося. Продолжительность диалога — 2,5—3 мин (9 класс).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Монологическая речь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Дальнейшее развитие и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связных выска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зываний с использованием основных коммуникативных типов речи: описание, сообще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рассказ (включающий эмоцио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нально-оценочные суждения), рассуждение (характеристика) с высказыванием своего мнени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краткой аргументацией с опо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и без опоры на проч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итанный или услышанный текст ли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заданную коммуникатив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ситуацию. Объем монологичес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высказывания — от 8—10 фраз (5—7 классы) до 10— 12 фраз (8—9 классы). Продолжительность монолога — 1,5— 2 мин (9 класс).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развитие и совершенствование восприятия и понимания на слух аутентич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аудио- и видеотекстов с раз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глубиной проникновения в их содержание (с пониманием основного содержания, с выборочным и полным пониманием воспринимаемого на слух т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екста) в зависимости от коммуни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кативной задачи и функционального типа текста.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Жанры текстов: прагматические, публицистические.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с полным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пониманием содержания осуществ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на несложных текста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построенных на полностью зна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комом учащимся языковом материале. Время звучания текстов для аудирования — до 1 мин.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с пониманием основного содержания текста осуществляется на аутенти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чном материале, содержащем наря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с изученными и некото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 количество незнакомых языко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явлений. Время звучания текстов для аудирования — до 2 мин.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с выборо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чным пониманием нужной или инте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ктера, опуская избыточную инфор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мацию. Время звучания текстов для аудирования — до 1,5 мин.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 и поним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аутентичные тексты с различ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глубиной и точностью проникновения в их содержание (в зависимости от вида чтения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с пониманием основного содер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жания (ознакомительное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чтение); с полным пониманием со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 (изучающее чтение); с выборочным пониманием нужной или интересующе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информации (просмотровое/поис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ковое чтение).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текстов: научно-популярные, публицистические, художественные, прагматические.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текстов: статья, ин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тервью, рассказ, объявление, ре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цепт, меню, проспект, реклама, стихотворение и др.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 от вида чтения возможно использов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дву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язычного словаря.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 пониманием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содержания осуществля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на несложных аутентич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текстах с ориентацией на вы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деленное в программе предметное содержание, включающих некоторое количество незнакомых слов. Объем текстов для чтения — 600—700 слов.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выборочным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пониманием нужной или интересу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полным пони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манием осуществляется на неслож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аутентичных текстах, п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остроенных в основном на изучен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языковом материале,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различных при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емов смысловой переработки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 (языковой догадки, выбо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рочного перевода) и оценки полученной информации. Объем текста для чтения — около 500 слов.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речь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Дальнейшее развитие и совершенствование письменной речи, а именно умений: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писать короткие поздравл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с днем рождения и дру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гими праздниками, выражать пожелания (объемом 30—40 слов, включая адрес);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заполнять формуля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бланки (указывать имя, фами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лию, пол, гражданство, адрес);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знания и навыки.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правил чтения и орфографии и навыки их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основе изучаемого лексико-грамматического материала.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сторона речи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сторона речи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распознавания и употребления в речи лексических единиц, обслуживающих с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итуации общения в рамках темати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основной школы, в том числе наиболее распространенных устойчивых словосочетаний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оценочной лексики, реплик-кли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 речевого этикета, характ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ерных для культуры стран изучае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языка; основные способы словообразования: аффиксация, словосложение, конверсия.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Графика, каллиграфия, орфография.  Правила чтения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написания новых слов, отобран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для данного э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тапа обучения и навыки их приме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в рамках изучаемого лексико-грамматического материала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сторона речи.  Различение на слух всех звуков французского языка и их адекватное произношение, соблюдение правильного ударе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словах и ритмических груп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пах. Соблюдение пра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 сцепления (liaison) и связы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(enchaînement) слов внутри ритмических групп, соблюдение  правил  сцепления  перед h  немой  и  h придыхательной. Ритмико-интонационные навыки пр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изношения разных типов предложений.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ьнейшее совершенствование слухо-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произносительных навыков,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применительно к но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вому языковому материалу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сторона речи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нер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аспространенных и распространен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простых предложений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безличных предложений, сложно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сочиненных и сложноподч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иненных предложений, использова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прямого и обратного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слов. Навыки распознава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употребления в речи перечисленных грамматических явлений. Знание признаков и навыки распознавания и употребления в речи глаголов в наиболе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употребительных временных фор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действительного и страда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залогов, модальных гла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 и их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эквивалентов, существительных в различных падежах, артиклей, относит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ельных, неопределенных/неопреде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ленно-личных местоимений, прилагательных, наречий, степе-ней сравнения прилагательн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 наречий, предлогов, количе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и порядковых числительных.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 знания и умения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м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ежличностное и межкультурное об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щение, используя знания о национально-ку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льтурных особен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ностях своей страны и стра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ны/стран изучаемого языка, полу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ченные на уроках иностранного языка и в процессе изучения других предметов (знания межпредметного характера). Это предполагает овладение: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знаниями о значении родного и иностранного языков в современном мире;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сведениями о социокультурном портрете стран, говорящих на иностранном языке, их символике и культурном наследии;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употребительной фоновой лексикой и реалиями страны изучаемого языка: традициями (в проведении выходных дней, основных национальных пр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аздников), распространенными об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разцами фольклора (скоро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говорками, поговорками, послови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цами);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представлением о сходств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различиях в традициях сво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страны и стран изучаемо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языка; об особенностях их об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жизни, быта, культуры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(всемирно известных достоприме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чательностях, выдающихся 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юдях и их вкладе в мировую куль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туру); о некоторых произведениях художественной литературы на изучаемом иностранном языке;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умением распознават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употреблять в устной и пись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менной речи в ситуациях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формального и неформального об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основные нормы речевого этикета, принятые в странах изучаемого языка (реплики-клише, наиболее распростр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оценочную лексику);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Компенсаторные умения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Совершенствуются умения: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переспрашивать, просить повторить, уточняя значение незнакомых слов;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использовать в качестве опоры при порождении собственных высказываний кл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ючевые слова, план к тексту, те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матический словарь и т. д.;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прогнозировать содержание текста на основе заголовка, предварительно поставленных вопросов;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догадываться о знач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 незнакомых слов по контекс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ту, по используемым собеседником жестам и мимике;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использовать синонимы, антонимы, описания понятия при дефиците языковых средств.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 умения и универсальные способы деятельности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и совершенствуются умения: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работать с информац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ией: сокращение, расширение уст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письменной информации, создание второго текста по аналогии, заполнение таблиц;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работать с прослушанным/прочитанным текстом: извле¬чение основной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извлечение запрашиваемой или нужной информации, изв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полной и точной информа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работать с разными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источниками на иностранном язы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ке: справочными материала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словарями, интернет-ресурса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литературой;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планировать и осуществлять учебно-исследовательскую работу: выбор темы исследования, составление плана работы, знакомство с исследовател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ьскими методами (наблюдение, ан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долгосрочным проектом; вза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имодействовать в группе с д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ругими участниками проектной де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самостоятельно работать, рационально организовывая свой труд в классе и дома.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учебные умения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и совершенствуются умения: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находить ключевые слова и социокультурные реалии при работе с текстом;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семантизировать слова на основе языковой догадки;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осуществлять словообразовательный анализ;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выборочно использовать перевод;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пользоваться двуязычным и толковым словарями;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участвовать в проектной деятельности межпредметного характера.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средства.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сторона речи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лексическими единицами, обслуживающими новые темы, предметы речи и ситуации общения в пределах выделенной тематики, в объ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 1200 единиц (включая 500 ус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военных в начальной школе).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единицы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 устойчивые словосочета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оценочную лексику, реп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лики-клише речевого этикета, от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ражающие культуру стран изучаемого языка.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потенциаль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словаря за счет интернацио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нальной лексики и навыков овладения новыми словооб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средствами:</w:t>
            </w:r>
          </w:p>
          <w:p w:rsidR="00122CDA" w:rsidRPr="00F47FB9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1)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суффиксация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:</w:t>
            </w:r>
          </w:p>
          <w:p w:rsidR="00122CDA" w:rsidRPr="00F47FB9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существительныхссуффиксами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: -tion, -sion (collection, révision); -ement (appartement); -eur (ordinateur); -ure (signature); -ette (bicyclette, disquette); -ique (gymnastique); -iste, -isme (jour¬naliste, tourisme); -er/-ère (boulanger/ boulangère); -ien/-ienne (pharmacien/pharmacienne); -erie (parfumerie); -ence, -ance (préférence, confiance); -aire (questionnaire); -oir, -oire (couloir, mémoire); -âge (bricolage); -té (activité); -ude (attitude); -aison (comparaison); -esse (jeunesse); -ure (ouverture); -ise (friandise);</w:t>
            </w:r>
          </w:p>
          <w:p w:rsidR="00122CDA" w:rsidRPr="00F47FB9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наречийссуффиксом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-ment;</w:t>
            </w:r>
          </w:p>
          <w:p w:rsidR="00122CDA" w:rsidRPr="00F47FB9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прилагательныхссуффиксами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: -eur/-euse (heureux/ heureuse); -ique (sympatique); -ant (intéressant); -ain (américain); -ais (français); -ois (chinois); -ien (parisien); -able/-ible (vivable, lisible); -el/-elle, -al/-ale, -ile, -il/-ille (professionnel, génial, diffi¬cile, gentil); -eau/-elle (nouveau/nouvelle); -aire (planétaire); -atif/-ative (imaginatif);</w:t>
            </w:r>
          </w:p>
          <w:p w:rsidR="00122CDA" w:rsidRPr="00F47FB9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lastRenderedPageBreak/>
              <w:t>2)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префиксация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:</w:t>
            </w:r>
          </w:p>
          <w:p w:rsidR="00122CDA" w:rsidRPr="00F47FB9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•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,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прилагательныхиглаголов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: in-, im- il-(inconnu, impossible, illisible); dé- (départ, décourager); dis- (dis¬paraître); re-, ré- (refaire, réviser), pré- (prévenir); mé- (méfiant); a- (asymétrique); extra- (extraordinaire); anti- (antiride);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3)словосложение: существительное + существительное (télécarte); существительное + предлог + существительное (sac-à-dos); прилагательное + существительное (cybercafé), глагол +местоимение (rendez-vous), глагол + существительное (passe-temps), предлог + существительное (sous-sol);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конверсия (образование существительных от неопреде¬ленной формы глагола (conseiller — unconseil).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синонимии, антонимии, лексической со¬четаемости, многозначности.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сторона речи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расширение объема значений грамматических средств, изученных ранее и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овладение новыми грамматически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явлениями.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овладения конкретным грамматическим явлением (продуктивно-рецептивно ил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рецептивно) указывается в гра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 «Характеристика основных видов деятельности учащихся» в тематическом планировании.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Нераспространенные и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распространенные простые предло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жения. Безличные предлож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ения. Предложения с неопределен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но-личным местоимение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on. Сложносочиненные предложе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 союзами ou, mais , ni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ni. Сложноподчиненные пред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 с придаточными дополнительными (союз que), определительными (союзные сл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qui, que, dont, où), обстоя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тельственными (наиболее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распространенные союзы, выражаю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значения времени (quand), места (où), причины (parceIque), следствия (ainsi), цели (pourque). Все типы вопроситель-ных предложений. Прямой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слов и инверсия. Вопро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сительное прилагательное quel, вопросительные наречия où, quand, comment, pourquoi; вопросительные местоимения qui, bue, quoi, lequel. Отрицательные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частицы plus, jamais, rien, per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sonne. Особенности употре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бления отрицаний перед неопреде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формой глагола (l'infinitif). Ограничительный оборот neque.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формы изъявительного наклонения (l'indicatif): leprésent, lefutursimple, lefuturimmédiat, lepassécomposé, l'imparfait, leplus-que-parfait, lefuturdanslepassé. Возврат¬ные (местоименные) глаголы.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Спряжение глаголов I и II груп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пы, распространенных глаголов III группы в изъявительном наклонении. Согласование причастия сложных форм глагола с подлежащим и прямым дополнением. Согласование времен в плане настоящего и прошедшего. Прямая и косвенная речь.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Повелительное наклон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регулярных и распространен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нерегулярных глаголов в утвердительной и отрицательной форме (l'impératif). Временная форма условного наклонения (leconditionnelprésent) в простом и сложном предложении. Lesubjonctifprésent регулярных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наиболее частотных нерегуляр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глаголов в дополнитель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придаточных. Активный и пас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сивный залог в настоящем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изъявительного наклоне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Предлоги par и de в пассивных конструкциях.</w:t>
            </w:r>
          </w:p>
          <w:p w:rsidR="00122CDA" w:rsidRPr="00F47FB9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Причастия настоящего и прошедшего времени (participeprésent и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participepassé), деепричастие (legérondif), инфинитивные конструкции после глаголов восприятия. Способыдействия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(venir de faire qch, êtreen train de faire qch)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Причинные отношения в простом и сложном предложении: parceque, grâce à, à causede, comme, car. Временные отношения в простых и сложных предложениях. Выражение цели и следствия, условия и гипотезы, сравнения, противопоставления и уступки в простых и сложных предложениях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формы существительных женского рода и множественного числа (travail — travaux), особые формы прилагательных женского рода и множественного числа (belle — beaulong — longue, culturelle, но musicale, spécial — spéciaux/spéciale: и др.). Частичный артикль с абстрактными и вещественными существительными. Замена артикля предлогом de (в отрицательных конструкциях, после слов, выражающих количество перед группой прилагательное + существительное). Употребление предлогов и артиклей перед географическими названиям' (enFrance, deChine, auCanada, duJapon).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Наречияна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ment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emment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amment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 и наречий, особые случаи их образование (bon — meilleur, bien — mieux). Личные местоимения в функции прямых и косвенных дополнений. Ударные и безударны» формы личных местоимений. Местоимения en и у. Относи тельные местоимения qui, que, où, dont. Указательные (celucelle, ceux и т. п.) и притяжательные (lemien, lamiennelesmiens, lesmiennes и т. п.) местоимения. Неопределенные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(on, tout, même, personnechaque, chacun(e), quelque(s), quelqu'un, quelques-un(e)siplusieurs).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числительные (свыше 1000), по рядковые числительные (свыше 10). Социокультурные особенности употребления количественных и порядковых числи тельных.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распространенных глаголов. Предлоги, служащие для выражения пространственных (à, de, dans, sur, sous, entre, vers) и временных (pendant, depuis, en, dans, pour) отношения. Распространенные коннекторы: pourtant, enfin, d'abordensuite и т. д.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 (lemien, lamiennelesmiens, lesmiennes и т. п.) местоимения. Неопределенные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F47FB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(on, tout, même, personnechaque, chacun(e), quelque(s), quelqu'un, quelques-un(e)siplusieurs).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числительные (свыше 1000), по рядковые числительные (свыше 10).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Социокультурная компетениия: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национально-культурных особенностей речевого и  неречевого поведения в своей стране и странах изучаемого  языка; их применение в различных ситуациях формаль¬ного и неформального межличностного и межкультурного общения;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распознавание и употребление в устной и письменной речи основных норм речевого этикета (реплик-клише, наиболее  распространённой оценочной лексики), принятых в странах, говорящих на французском языке; 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знание употребительно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фоновой лексики и реалий стра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изучаемого языка: распространённых образцов фольклора (скороговорки, поговорки, пословицы);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образцами художественной и научно-популярной литературы;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представление об особенностях образа жизни, быта, культуры стран,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говорящих на французском языке (всемирно известных достопримечательностях, выдающихся людях и их вкладе в мировую культуру);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о сходстве и различиях в традициях своей страны и стран изучаемого языка;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роли вла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иностранными языками в со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 мире.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Компенсаторная компетенция: 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умение выходить из трудного положения в условиях дефицита языковых средств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получении и приёме информа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 познавательной сфере: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сравнивать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явления родного и фран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цузского языков на уровн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отдельных грамматических явле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слов, словосочетаний, предложений;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владение приёмами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текстом: умение пользо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определённой страт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егией чтения/аудирования в зави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симости от коммуникативной задачи (читать/слушать текст с разной глубиной понимания);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действовать по образцу/ана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 при выполне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упражнений и составлении собственных высказываний в пределах тематики основной школы;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готовность и умение о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индивидуальную и со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вместную проектную работу;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пользоват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ься справочным материалом (грам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матическим и лингвостр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ановедческим справочниками, дву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язычным и толковым сл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оварями, мультимедийными средст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вами);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владение способами 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приёмами дальнейшего самостоя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изучения иностранных языков.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 ценностно-мотивационной сфере: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о языке как средстве выражения чувств, эмоций, основе культуры мышления;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контактом в доступных пределах;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к ценностям мировой культуры как через источники информации на французском языке, в том числе мультимедийные, так и через участие в школьных обменах, туристических поездках, молодёжных форумах.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 эстетической сфере: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элементарными средствами выражения чувств и эмоций на французском языке;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к знакомству с образцами художественного творчества на французском языке и средствами французского языка;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чувства прекр</w:t>
            </w:r>
            <w:r w:rsidR="006E067D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асного в процессе обсуждения со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временных тенденций в живописи, музыке, литературе.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 трудовой сфере: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умение рационально планировать свой учебный труд;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работать в соответствии с намеченным планом.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В физической сфере:</w:t>
            </w:r>
          </w:p>
          <w:p w:rsidR="00122CDA" w:rsidRPr="004F5050" w:rsidRDefault="00122CDA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вести здоровый образ жизни (режим труда и отдыха, питание, спорт, фитнес).</w:t>
            </w:r>
          </w:p>
          <w:p w:rsidR="002239A7" w:rsidRPr="004F5050" w:rsidRDefault="002239A7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151" w:rsidRPr="004F5050" w:rsidRDefault="0063703E" w:rsidP="004F505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</w:t>
            </w:r>
          </w:p>
          <w:p w:rsidR="002239A7" w:rsidRPr="004F5050" w:rsidRDefault="002239A7" w:rsidP="004F505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8-9 классы</w:t>
            </w:r>
          </w:p>
          <w:p w:rsidR="007E6151" w:rsidRPr="004F5050" w:rsidRDefault="002239A7" w:rsidP="004F505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(204 часа)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7E6151" w:rsidRPr="004F5050" w:rsidTr="007E61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Предметное содержание речи</w:t>
            </w:r>
          </w:p>
          <w:p w:rsidR="007E6151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51" w:rsidRPr="004F5050" w:rsidTr="007E61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</w:t>
            </w:r>
            <w:r w:rsidR="00953CE5"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дискотеки, кафе);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 мода; покуп</w:t>
            </w:r>
            <w:r w:rsidR="00D34CA6"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карманные деньги.</w:t>
            </w:r>
          </w:p>
        </w:tc>
      </w:tr>
      <w:tr w:rsidR="007E6151" w:rsidRPr="004F5050" w:rsidTr="007E61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Школьное образование, школьная жизнь, изучаемые предметы и отношение к ним;  международные школьные обмены; переписка; проблемы выбора профессии и ро</w:t>
            </w:r>
            <w:r w:rsidR="00D34CA6"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иностранного языка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6151" w:rsidRPr="004F5050" w:rsidTr="007E61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953CE5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Страна </w:t>
            </w:r>
            <w:r w:rsidR="007E6151"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/страны изучаемого языка и родная страна, их культурные особенности (национальные праздники, знаменательные даты, традиции, обычаи),  достопримечательности, путешествие по странам изучаемого языка и России; выдающиеся люди, их вклад в науку  и мировую культуру; средства массовой информации (пресса, телевидение, радио, Интернет).</w:t>
            </w:r>
          </w:p>
        </w:tc>
      </w:tr>
      <w:tr w:rsidR="007E6151" w:rsidRPr="004F5050" w:rsidTr="007E61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4.Природа и проблемы экологии.</w:t>
            </w:r>
            <w:r w:rsidR="00D34CA6"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Здоровый образ жизни</w:t>
            </w: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4"/>
      </w:tblGrid>
      <w:tr w:rsidR="007E6151" w:rsidRPr="004F5050" w:rsidTr="007E6151"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Речевые умения</w:t>
            </w:r>
          </w:p>
        </w:tc>
      </w:tr>
      <w:tr w:rsidR="007E6151" w:rsidRPr="004F5050" w:rsidTr="007E6151"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</w:tr>
      <w:tr w:rsidR="007E6151" w:rsidRPr="004F5050" w:rsidTr="007E6151"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Диалогическая речь</w:t>
            </w:r>
            <w:r w:rsidRPr="004F505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Развитие у школьников диалогической речи на средней ступени предусматривает  овладение ими  умениями вести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диалог  этикетного характера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диалог-расспрос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диалог-побуждение к действию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диалог-обмен мнениями, а также их комбинации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Речевые умения при ведении </w:t>
            </w:r>
            <w:r w:rsidRPr="004F505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>диалогов этикетного характера</w:t>
            </w:r>
            <w:r w:rsidRPr="004F505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начать, поддержать и закончить разговор;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поздравить, выразить пожелания и отреагировать на них;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выразить благодарность;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вежливо переспросить, выразить согласие/ отказ.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Объем этикетных диалогов – до 4 реплик со стороны каждого учащегося.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9"/>
      </w:tblGrid>
      <w:tr w:rsidR="007E6151" w:rsidRPr="004F5050" w:rsidTr="00002990">
        <w:trPr>
          <w:trHeight w:val="2091"/>
        </w:trPr>
        <w:tc>
          <w:tcPr>
            <w:tcW w:w="10009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Речевые умения при ведении </w:t>
            </w:r>
            <w:r w:rsidRPr="004F505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диалога-расспроса</w:t>
            </w:r>
            <w:r w:rsidRPr="004F505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запрашивать и сообщать фактическую информацию (Кто? Что? Как? Где? Куда? Когда? С кем? Почему?),  переходя с позиции спрашивающего на позицию отвечающего;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2"/>
              </w:numPr>
              <w:shd w:val="clear" w:color="auto" w:fill="FFFFFF"/>
              <w:snapToGrid w:val="0"/>
              <w:spacing w:after="0" w:line="240" w:lineRule="auto"/>
              <w:ind w:left="0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целенаправленно расспрашивать, «брать интервью»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Объем данных диалогов – до 6 репл</w:t>
            </w:r>
            <w:r w:rsid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ик со стороны каждого учащегося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0"/>
      </w:tblGrid>
      <w:tr w:rsidR="007E6151" w:rsidRPr="004F5050" w:rsidTr="007E6151"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Речевые умения при ведении </w:t>
            </w:r>
            <w:r w:rsidRPr="004F505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диалога-побуждения</w:t>
            </w:r>
            <w:r w:rsidRPr="004F505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действию</w:t>
            </w:r>
            <w:r w:rsidRPr="004F505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обратиться с просьбой и выразить готовность/отказ ее выполнить;</w:t>
            </w:r>
          </w:p>
          <w:p w:rsidR="007E6151" w:rsidRPr="004F5050" w:rsidRDefault="00AE0981" w:rsidP="004F5050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дать совет и принять </w:t>
            </w:r>
            <w:r w:rsidR="007E6151"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/не принять его;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пригласить к действию/взаимодействию и согласиться/не согласиться принять в нем участие;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3"/>
              </w:numPr>
              <w:shd w:val="clear" w:color="auto" w:fill="FFFFFF"/>
              <w:snapToGri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 предложение  и  выразить  согласие/несогласие,  принять  его, объяснить причину.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Объем данных диалогов –  до 4  реплик со стороны каждого учащегося.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Речевые умения при ведении </w:t>
            </w:r>
            <w:r w:rsidRPr="004F505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диалога–обмена мнениями</w:t>
            </w:r>
            <w:r w:rsidRPr="004F505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  <w:t>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выразить точку зрения и согласиться/не согласиться с ней;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высказать одобрение/неодобрение;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выразить сомнение;</w:t>
            </w:r>
          </w:p>
          <w:p w:rsidR="007E6151" w:rsidRPr="004F5050" w:rsidRDefault="00AE0981" w:rsidP="004F5050">
            <w:pPr>
              <w:widowControl w:val="0"/>
              <w:numPr>
                <w:ilvl w:val="0"/>
                <w:numId w:val="37"/>
              </w:numPr>
              <w:shd w:val="clear" w:color="auto" w:fill="FFFFFF"/>
              <w:snapToGri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выразить эмоциональную оценку обсуждаемых </w:t>
            </w:r>
            <w:r w:rsidR="007E6151"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событий (радость/огорчение, желание/нежелание);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выразить эмоциональную поддержку партнера, в том числе с помощью комплиментов.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Объем диалогов  - не менее 5-7 реплик со стороны каждого учащегося.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При участии в этих видах 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 умений.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  <w:lang w:eastAsia="ru-RU"/>
              </w:rPr>
              <w:t xml:space="preserve">Монологическая речь.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Развитие монологической речи на средней ступени предусматривает овладение учащимися следующими умениями: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39"/>
              </w:numPr>
              <w:shd w:val="clear" w:color="auto" w:fill="FFFFFF"/>
              <w:snapToGri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   высказываться   о   фактах   и   событиях,   используя   основные коммуникативные типы речи  (описание,  повествование,  сообщение, характеристика), эмоциональные и оценочные суждения;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0"/>
              </w:numPr>
              <w:shd w:val="clear" w:color="auto" w:fill="FFFFFF"/>
              <w:snapToGri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содержание, основную мысль прочитанного с опорой на текст;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делать сообщение в связи с  прочитанным  текстом.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выражать и аргументировать свое отношение к прочитанному/услышанному.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Объем монологического высказывания – до 12 фраз.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Аудирование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Владение умениями понимать на слух  иноязычный текст предусматривает понимание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При этом предусматривается развитие следующих умений: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прогнозироват</w:t>
            </w:r>
            <w:r w:rsidR="00953CE5"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ь содержание устного текста по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началу сообщения и выделять основную мысль в воспринимаемом на слух тексте;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выбирать главные факты, опуская второстепенные;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выборочно   понимать   не</w:t>
            </w:r>
            <w:r w:rsidR="00953CE5"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обходимую   информацию в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сообщениях прагматического характера с опорой на языковую догадку, контекст;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игнорировать незнакомый языковой материал,  несущественный для понимания.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Время звучания текста – 1,5-2 минуты.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      </w:r>
            <w:r w:rsidRPr="004F505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ознакомительное чтение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); с полным пониманием содержания (</w:t>
            </w:r>
            <w:r w:rsidRPr="004F505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изучающее чтение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); с выборочным пониманием нужной или интересующей информации (</w:t>
            </w:r>
            <w:r w:rsidRPr="004F505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просмотровое/поисковое чтение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Независимо от вида чтения возможно использование двуязычного словаря.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Чтение с пониманием основного содержания текста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осуществляется на аутентичных материалах, отражающих особенности быта, жизни, культуры стран изучаемого языка.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чтения, подлежащие формированию: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определять тему, содержание текста по заголовку;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выделять основную мысль;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выбирать главные факты из текста, опуская второстепенные;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устанавливать логическую последовательность основных фактов/ событий в тексте.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Объем текста – до 500 слов.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Чтение с полным пониманием текста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осуществляется на облегченных аутентичных текстах разных жанров.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Умения чтения, подлежащие формированию:</w:t>
            </w:r>
          </w:p>
          <w:p w:rsidR="007E6151" w:rsidRPr="004F5050" w:rsidRDefault="00953CE5" w:rsidP="004F5050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полно и точно понимать содержание текста  на основе </w:t>
            </w:r>
            <w:r w:rsidR="007E6151"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оценивать полученную информацию, выразить свое мнение;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прокомментировать/объяснить те или иные факты, описанные в тексте.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Объем текста - до 600 слов.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Чтение свыборочным понимание нужной или интересующей информации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предполагает умение просмотреть аутентичный  текст, (статью или несколько статей из газеты, журнала,сайтов Интернет) и выбрать информацию, которая необходима или представляет интерес для учащихся.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134"/>
        <w:gridCol w:w="142"/>
      </w:tblGrid>
      <w:tr w:rsidR="007E6151" w:rsidRPr="004F5050" w:rsidTr="007E6151">
        <w:trPr>
          <w:gridAfter w:val="2"/>
          <w:wAfter w:w="1276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Письменная речь</w:t>
            </w:r>
          </w:p>
        </w:tc>
      </w:tr>
      <w:tr w:rsidR="007E6151" w:rsidRPr="004F5050" w:rsidTr="007E6151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Овладение письменной речью предусматривает развитие следующих умений: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делать выписки из текста;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писать короткие поздравления с днем рождения, другими праздниками, выражать пожелания; (объемом 30-40 слов, включая написание адреса);</w:t>
            </w:r>
          </w:p>
          <w:p w:rsidR="007E6151" w:rsidRPr="004F5050" w:rsidRDefault="00953CE5" w:rsidP="004F5050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заполнять бланки (указывать имя, </w:t>
            </w:r>
            <w:r w:rsidR="007E6151"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фамил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ию, пол, </w:t>
            </w:r>
            <w:r w:rsidR="007E6151"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возраст, гражданство, адрес);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писать личное письмо по образцу/ без опоры на образец(расспрашивать адресат   о   его   жизни,   делах,   сообщать   то   же   о   себе,   выражать благодарность, просьбу), используя материал одной или нескольких тем, усвоенных в устной речи и при чтении,  употребляя необходимые формулы речевого этикета (объем личного письма 80-90 слов, включая адрес).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151" w:rsidRPr="004F5050" w:rsidTr="007E6151">
        <w:trPr>
          <w:gridAfter w:val="1"/>
          <w:wAfter w:w="142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Успешное овладение французским языком на допороговом уровне (соответствующем международному стандарту) предполагает развитие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учебных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компенсаторных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умений при обучении говорению, письму аудированию и чтению.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На средней ступени обучения уучащиеся развиваются такие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специальные учебные умения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как: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пользоваться словарями и справочниками, в том числе электронными;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 основной школе также целенаправленно осуществляется развитие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компенсаторных умений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 - умений выходить из затруднительных положений </w:t>
            </w: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 языковую догадку, тематическое прогнозирование содержания, опускать/игнорировать информацию, не мешающую понять основное значение текста.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Социокультурные знания и умения</w:t>
            </w:r>
          </w:p>
        </w:tc>
      </w:tr>
      <w:tr w:rsidR="007E6151" w:rsidRPr="004F5050" w:rsidTr="007E61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Они овладевают знаниями о: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значении французского языка в современном мире;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наиболее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социокультурном портрете стран ( говорящих на изучаемом языке) и культурном  наследии стран изучаемого языка.;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речевых различиях в ситуациях формального и неформального общения в рамках изучаемых предметов речи.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Предусматривается также овладение умениями: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представлять родную страну и  культуру на иностранном языке;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оказывать  помощь  зарубежным  гостям   в  ситуациях  повседневного общения.</w:t>
            </w:r>
          </w:p>
        </w:tc>
      </w:tr>
    </w:tbl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6151" w:rsidRPr="004F5050" w:rsidRDefault="007E6151" w:rsidP="004F505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Графика и орфография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Фонетическая сторона речи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Навыки адекватного произношения и различения на слух всех звуков французского языка; соблюдение правильного ударения в словах и ритмических группах. Соблюдение правил  сцепления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liaison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и связывания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encha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î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nement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слов внутри ритмических групп, в том числе применительно к новому языковому материалу. Дальнейшее совершенствование слухо-произносительных навыков. Соблюдение правильной интонации в различных типах предложений.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Лексическая сторона речи</w:t>
      </w:r>
    </w:p>
    <w:p w:rsidR="007E6151" w:rsidRPr="004F5050" w:rsidRDefault="007E6151" w:rsidP="004F505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числе,  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 Расширение потенциального словаря за счет интернациональной лексики и овладения новыми словообразовательными средствами:</w:t>
      </w:r>
    </w:p>
    <w:p w:rsidR="007E6151" w:rsidRPr="004F5050" w:rsidRDefault="007E6151" w:rsidP="004F5050">
      <w:pPr>
        <w:widowControl w:val="0"/>
        <w:numPr>
          <w:ilvl w:val="0"/>
          <w:numId w:val="54"/>
        </w:num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суффиксами:</w:t>
      </w:r>
    </w:p>
    <w:p w:rsidR="007E6151" w:rsidRPr="004F5050" w:rsidRDefault="007E6151" w:rsidP="004F5050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</w:pP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существительных</w:t>
      </w:r>
      <w:r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: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 xml:space="preserve"> -ence</w:t>
      </w:r>
      <w:r w:rsidR="000A5B3D"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, -ance (préférence, confiance); -aire (questionnaire)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; -oir, -oire (coulo</w:t>
      </w:r>
      <w:r w:rsidR="000A5B3D"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ir, mémoire); -age (bricolage); -té (activité); -ude (attitude); -aison (comparaison); -esse (jeunesse); -ure (ouverture); -ise (friandise)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;</w:t>
      </w:r>
    </w:p>
    <w:p w:rsidR="007E6151" w:rsidRPr="004F5050" w:rsidRDefault="007E6151" w:rsidP="004F5050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ru-RU"/>
        </w:rPr>
      </w:pP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прилагательных</w:t>
      </w:r>
      <w:r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: -el/-elle, -al/-ale, -ile, -il/-ille (professionnel, g</w:t>
      </w:r>
      <w:r w:rsidR="000A5B3D"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énial, difficile, gentil)</w:t>
      </w:r>
      <w:r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; -abl</w:t>
      </w:r>
      <w:r w:rsidR="000A5B3D"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e, -ible (formidable, possible)</w:t>
      </w:r>
      <w:r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 xml:space="preserve">; </w:t>
      </w:r>
      <w:r w:rsidR="000A5B3D"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-eau/-elle (nouveau / nouvelle); -aire (planétaire); -atif/-ative (imaginatif)</w:t>
      </w:r>
      <w:r w:rsidRPr="00F47F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;</w:t>
      </w:r>
    </w:p>
    <w:p w:rsidR="007E6151" w:rsidRPr="004F5050" w:rsidRDefault="007E6151" w:rsidP="004F5050">
      <w:pPr>
        <w:widowControl w:val="0"/>
        <w:numPr>
          <w:ilvl w:val="0"/>
          <w:numId w:val="55"/>
        </w:num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</w:pP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префиксами:</w:t>
      </w:r>
    </w:p>
    <w:p w:rsidR="007E6151" w:rsidRPr="004F5050" w:rsidRDefault="007E6151" w:rsidP="004F5050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ru-RU"/>
        </w:rPr>
      </w:pP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существительных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прилагательныхиглаголов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:</w:t>
      </w:r>
      <w:r w:rsidR="000A5B3D"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 xml:space="preserve"> in-, im- (inconnu, impossible); dé- (départ, décourager); dis- (disparaître)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; re-, ré- (ref</w:t>
      </w:r>
      <w:r w:rsidR="000A5B3D"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aire, réviser), pré- (prévenir)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; m</w:t>
      </w:r>
      <w:r w:rsidR="000A5B3D"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é- (méfiant) ; a- (asymetrique); extra- (extraordinaire)</w:t>
      </w:r>
      <w:r w:rsidRPr="004F505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fr-FR" w:eastAsia="ru-RU"/>
        </w:rPr>
        <w:t>; anti- (antiride).</w:t>
      </w:r>
    </w:p>
    <w:p w:rsidR="007E6151" w:rsidRPr="004F5050" w:rsidRDefault="007E6151" w:rsidP="004F505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ru-RU"/>
        </w:rPr>
      </w:pP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Грамматическая сторона речи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Расширение объема значенийграмматических средств, изученных во 2-7 или 5-7 классах, и овладение новыми грамматическими явлениями</w:t>
      </w:r>
      <w:r w:rsidRPr="004F50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Знания признаков и навыки распознавания и употребления в речи всех типов простых предложений. Употребление в речи вопросительных местоимений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quel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/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quelle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отрицательных частиц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jamais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rien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personne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ограничительного оборота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ne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…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Знание признаков и навыки распознавания и употребления в речисложноподчиненных предложений с придаточными дополнительными (союз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определительными (союзные слова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qui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dont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o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ù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обстоятельственными (наиболее распространенные союзы, выражающие значения времени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quand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места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o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ù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причины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parce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следствия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ainsi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цели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pour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 Все типы простых предложений. Навыкираспознавания прямой и косвенной речи.</w:t>
      </w:r>
    </w:p>
    <w:p w:rsidR="007E6151" w:rsidRPr="00F47FB9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Знание признаков и навыки распознавания и употребления в речивременных форм изъявительного наклонения 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’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indicatif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plus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parfait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futur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dans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pass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é,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также  деепричастия (gé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rondif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 Формирование навыков согласования времен в рамках сложного предложения в плане настоящего и прошлого. Употребление в речи глаголов в повелительном наклонении, образующих нерегулярные формы (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ê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tre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avoir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savoir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). Знание признаков и навыки распознавания временной формы условного наклонения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Conditionnel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pr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é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sent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Ее употребление в независимом предложении для выражения долженствования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Tu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devrais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mettre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un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manteau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и сложноподчиненном предложении с обстоятельственным придаточным условия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Si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j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’é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tais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libre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j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’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irais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au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cin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é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ma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). Знание признаков и навыки распознаваниявременной формы сослагательного наклонения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Subjonctif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pr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é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sent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Навыки образования Subjonctifpré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sent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регулярных и наиболее частотных нерегулярных глаголов. Его употребление в сложноподчиненном предложении с дополнительным придаточным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Il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faut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vous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vous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reposiez 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Je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voudrais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’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on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aille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au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cin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é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ma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</w:p>
    <w:p w:rsidR="00830AFB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Знание признаков и навыки распознавания и употребления в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речипростыхотносительных местоимений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qui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que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dont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o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ù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 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указательных и притяжательных местоимений (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celui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celle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ceux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mien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la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mienne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les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miens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les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miennes</w:t>
      </w:r>
      <w:r w:rsidR="000A5B3D"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30AFB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AFB" w:rsidRPr="00F47FB9" w:rsidRDefault="00830AFB" w:rsidP="0000299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Учебно-методическое и материально-техническое</w:t>
      </w:r>
    </w:p>
    <w:p w:rsidR="00830AFB" w:rsidRPr="00F47FB9" w:rsidRDefault="00830AFB" w:rsidP="0000299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обеспечение образовательного процесса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данной программы осуществляется с помощью УМК – «Синяя птица»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(«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’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oiseau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bleu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») для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8 -9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классов общеобразовательных учреждений, автор Н.А.Селиванова, А.Ю. Шашурина</w:t>
      </w:r>
    </w:p>
    <w:p w:rsidR="00830AFB" w:rsidRPr="00F47FB9" w:rsidRDefault="007127ED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830AFB"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чебники французского языка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Н.А.Селиванова, А.Ю. Шашурина «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L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’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oiseau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bleu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="00830AFB"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</w:t>
      </w:r>
      <w:r w:rsidR="00830AFB"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8,9</w:t>
      </w:r>
      <w:r w:rsidR="00830AFB"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классов общеобразовательных учреждений (Рекомендовано Министерством образования Российской Федерации) – Москва, Просвещение,2013</w:t>
      </w:r>
    </w:p>
    <w:p w:rsidR="00830AFB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Рабочая тетрадь “Cahier d’activites”</w:t>
      </w:r>
    </w:p>
    <w:p w:rsidR="00830AFB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Книга для учителя “Livre du professeur”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 xml:space="preserve"> 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Аудиоприложение–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CD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MP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Г.Ю. Настёнкова. Контрольные и прверочные работы по французскому языку к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Учебнику «Синяя птица»: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8,9 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классы, М.:Экзамен, 2003</w:t>
      </w:r>
    </w:p>
    <w:p w:rsidR="00830AFB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Интернет – поддержка учебников и дополнительные материалы</w:t>
      </w:r>
      <w:r w:rsidR="007127ED"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http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://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www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prosv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ru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http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://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pedsovet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su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Федеральный государственный Образовательный стандарт общего образования.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Книги для чтения на иностранном языке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Пособия по страноведению: Франция и франкоговорящие страны.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Двуязычные словари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Рабочие п</w:t>
      </w:r>
      <w:r w:rsidR="007127ED"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рограммы по французскому языку.</w:t>
      </w:r>
      <w:r w:rsidR="007127ED"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-9 классы. (базовый уровень)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Н.А.Селиванова – М.: Просвещение, 2013.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Грамматические таблицы к основным разделам грамматического материала,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содержащегося в стандартах для каждой ступени обучения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Экранно-звуковые пособия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Аудиозаписи к УМК, которые используются для изучения иностранного языка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Видеофильмы, соответствующие тематике.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Информационно-коммуникативные средства</w:t>
      </w:r>
    </w:p>
    <w:p w:rsidR="00830AFB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Технические средства обучения</w:t>
      </w:r>
      <w:r w:rsidR="007127ED"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830AFB" w:rsidRPr="00F47FB9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</w:t>
      </w:r>
    </w:p>
    <w:p w:rsidR="00830AFB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7F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Учебно-практическое оборудование</w:t>
      </w:r>
      <w:r w:rsidR="007127ED"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830AFB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>Экспозиционный экран</w:t>
      </w:r>
    </w:p>
    <w:p w:rsidR="007E6151" w:rsidRPr="004F5050" w:rsidRDefault="00830AFB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snapToGrid w:val="0"/>
          <w:sz w:val="28"/>
          <w:szCs w:val="28"/>
          <w:lang w:val="fr-FR" w:eastAsia="ru-RU"/>
        </w:rPr>
        <w:tab/>
      </w:r>
    </w:p>
    <w:p w:rsidR="002239A7" w:rsidRPr="004F5050" w:rsidRDefault="002239A7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E6151" w:rsidRPr="004F5050" w:rsidRDefault="002239A7" w:rsidP="0000299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50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Планируемые результаты</w:t>
      </w:r>
    </w:p>
    <w:p w:rsidR="007E6151" w:rsidRPr="004F5050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7"/>
      </w:tblGrid>
      <w:tr w:rsidR="007E6151" w:rsidRPr="00FA3293" w:rsidTr="007E615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E6151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результате изучения французского  языка ученик должен</w:t>
            </w:r>
          </w:p>
          <w:p w:rsidR="007E6151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Знать/понимать: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7E6151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говорение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7E6151" w:rsidRPr="004F5050" w:rsidRDefault="000A5B3D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="007E6151"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синонимичные средства в процессе устного общения;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аудирование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переспрос, просьбу повторить;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иноязычном тексте: прогнозировать его содержание по </w:t>
            </w: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заголовку;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с выборочным пониманием нужной или интересующей информации;</w:t>
            </w:r>
          </w:p>
          <w:p w:rsidR="007E6151" w:rsidRPr="004F5050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письменная речь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анкеты и формуляры;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7E6151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      </w:r>
          </w:p>
          <w:p w:rsidR="007E6151" w:rsidRPr="004F5050" w:rsidRDefault="007E6151" w:rsidP="004F5050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  <w:p w:rsidR="007E6151" w:rsidRPr="004F5050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Y="955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8923"/>
            </w:tblGrid>
            <w:tr w:rsidR="00FA3293" w:rsidTr="00F60F6C">
              <w:trPr>
                <w:trHeight w:val="720"/>
              </w:trPr>
              <w:tc>
                <w:tcPr>
                  <w:tcW w:w="9571" w:type="dxa"/>
                  <w:gridSpan w:val="2"/>
                </w:tcPr>
                <w:p w:rsidR="00FA3293" w:rsidRPr="000A2AE3" w:rsidRDefault="00FA3293" w:rsidP="00FA329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A2AE3">
                    <w:rPr>
                      <w:b/>
                      <w:sz w:val="48"/>
                      <w:szCs w:val="48"/>
                    </w:rPr>
                    <w:t>Поурочное планирование в 9 классе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8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293" w:rsidRPr="000A2AE3" w:rsidRDefault="00FA3293" w:rsidP="00FA329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b/>
                      <w:sz w:val="28"/>
                      <w:szCs w:val="28"/>
                      <w:lang w:val="fr-FR"/>
                    </w:rPr>
                    <w:t>Je vais en France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  <w:tcBorders>
                    <w:top w:val="single" w:sz="4" w:space="0" w:color="auto"/>
                  </w:tcBorders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1</w:t>
                  </w:r>
                </w:p>
              </w:tc>
              <w:tc>
                <w:tcPr>
                  <w:tcW w:w="8923" w:type="dxa"/>
                  <w:tcBorders>
                    <w:top w:val="single" w:sz="4" w:space="0" w:color="auto"/>
                  </w:tcBorders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«avion», «vol»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«passager»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«aéroport»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«équipage»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«Moscou – Paris»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«Moscou – Paris»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42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en-US"/>
                    </w:rPr>
                    <w:t>R</w:t>
                  </w:r>
                  <w:r w:rsidRPr="000A2AE3">
                    <w:rPr>
                      <w:sz w:val="28"/>
                      <w:szCs w:val="28"/>
                      <w:lang w:val="fr-FR"/>
                    </w:rPr>
                    <w:t>eportage «Moscou – Paris»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3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 «L’aéroport Roissy – Charles – de – Gaulle»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Civilisation.  Air France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178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Français pratique «Dans une agence Air France»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2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Français pratique «Réserva</w:t>
                  </w:r>
                  <w:r w:rsidRPr="0072490E">
                    <w:rPr>
                      <w:sz w:val="28"/>
                      <w:szCs w:val="28"/>
                      <w:lang w:val="fr-FR"/>
                    </w:rPr>
                    <w:t>t</w:t>
                  </w:r>
                  <w:r w:rsidRPr="000A2AE3">
                    <w:rPr>
                      <w:sz w:val="28"/>
                      <w:szCs w:val="28"/>
                      <w:lang w:val="fr-FR"/>
                    </w:rPr>
                    <w:t>ion des billets»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 xml:space="preserve">Je lis la presse pour ... comprendre «Drogue – un trafic mondial»   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lire. «Les poissons d’avril»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64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lire. «Les poissons d’avril»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923" w:type="dxa"/>
                </w:tcPr>
                <w:p w:rsidR="00FA3293" w:rsidRPr="0072490E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72490E">
                    <w:rPr>
                      <w:sz w:val="28"/>
                      <w:szCs w:val="28"/>
                      <w:lang w:val="fr-FR"/>
                    </w:rPr>
                    <w:t>Interview «A l’aéroport  Roissy – Charles – de – Gaulle»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3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1</w:t>
                  </w:r>
                  <w:r w:rsidRPr="000A2AE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«A l’aéroport  Roissy – Charles – de – Gaulle»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2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Grammaire. Pronoms démonstratifs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18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Grammaire. Subjonctif  présent.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19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23" w:type="dxa"/>
                </w:tcPr>
                <w:p w:rsidR="00FA3293" w:rsidRPr="00F12BE8" w:rsidRDefault="00FA3293" w:rsidP="00FA329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F12BE8">
                    <w:rPr>
                      <w:b/>
                      <w:sz w:val="28"/>
                      <w:szCs w:val="28"/>
                      <w:lang w:val="fr-FR"/>
                    </w:rPr>
                    <w:t>Je m’installe à l’hôtel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F12BE8">
                    <w:rPr>
                      <w:sz w:val="28"/>
                      <w:szCs w:val="28"/>
                      <w:lang w:val="fr-FR"/>
                    </w:rPr>
                    <w:t>Le vocabulaire thématique «hôtel»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278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tabs>
                      <w:tab w:val="right" w:pos="8707"/>
                    </w:tabs>
                    <w:rPr>
                      <w:sz w:val="28"/>
                      <w:szCs w:val="28"/>
                      <w:lang w:val="fr-FR"/>
                    </w:rPr>
                  </w:pPr>
                  <w:r w:rsidRPr="00F12BE8">
                    <w:rPr>
                      <w:sz w:val="28"/>
                      <w:szCs w:val="28"/>
                      <w:lang w:val="fr-FR"/>
                    </w:rPr>
                    <w:t>Le vocabulaire thématique «formalités»</w:t>
                  </w:r>
                  <w:r w:rsidRPr="000A2AE3">
                    <w:rPr>
                      <w:sz w:val="28"/>
                      <w:szCs w:val="28"/>
                      <w:lang w:val="fr-FR"/>
                    </w:rPr>
                    <w:tab/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40"/>
              </w:trPr>
              <w:tc>
                <w:tcPr>
                  <w:tcW w:w="648" w:type="dxa"/>
                </w:tcPr>
                <w:p w:rsidR="00FA3293" w:rsidRPr="00F12BE8" w:rsidRDefault="00FA3293" w:rsidP="00FA32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F12BE8">
                    <w:rPr>
                      <w:sz w:val="28"/>
                      <w:szCs w:val="28"/>
                      <w:lang w:val="fr-FR"/>
                    </w:rPr>
                    <w:t>Le vocabulaire thématique «chambre»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30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va à l’hôtel Médicis»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va à l’hôtel Médicis»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2</w:t>
                  </w:r>
                  <w:r w:rsidRPr="000A2AE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216F81">
                    <w:rPr>
                      <w:sz w:val="28"/>
                      <w:szCs w:val="28"/>
                      <w:lang w:val="fr-FR"/>
                    </w:rPr>
                    <w:t xml:space="preserve">Grammaire. </w:t>
                  </w:r>
                  <w:r w:rsidRPr="000A2AE3">
                    <w:rPr>
                      <w:sz w:val="28"/>
                      <w:szCs w:val="28"/>
                      <w:lang w:val="fr-FR"/>
                    </w:rPr>
                    <w:t>Subjonctif  présent.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2</w:t>
                  </w:r>
                  <w:r w:rsidRPr="000A2AE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va à l’hôtel Médicis»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8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2</w:t>
                  </w:r>
                  <w:r w:rsidRPr="000A2AE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923" w:type="dxa"/>
                </w:tcPr>
                <w:p w:rsidR="00FA3293" w:rsidRPr="0072490E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72490E">
                    <w:rPr>
                      <w:sz w:val="28"/>
                      <w:szCs w:val="28"/>
                      <w:lang w:val="fr-FR"/>
                    </w:rPr>
                    <w:t>Civilisation «Le classement des hôtels français en catégories»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0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 «L’hôtel Tolbiac»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2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Français pratique. «A l’hôtel»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3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Je lis la presse pour ... répondre aux questions «Projet de liaison souterraine Paris – Roissy»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336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lire. «C’est papa qui décide»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2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 xml:space="preserve">Interview «A l’hôtel» 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28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«A l’hôtel»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28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Grammaire. Pronoms </w:t>
                  </w:r>
                  <w:r>
                    <w:rPr>
                      <w:sz w:val="28"/>
                      <w:szCs w:val="28"/>
                      <w:lang w:val="en-US"/>
                    </w:rPr>
                    <w:t>possess</w:t>
                  </w:r>
                  <w:r w:rsidRPr="000A2AE3">
                    <w:rPr>
                      <w:sz w:val="28"/>
                      <w:szCs w:val="28"/>
                      <w:lang w:val="fr-FR"/>
                    </w:rPr>
                    <w:t>ifs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36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23" w:type="dxa"/>
                </w:tcPr>
                <w:p w:rsidR="00FA3293" w:rsidRPr="00216F81" w:rsidRDefault="00FA3293" w:rsidP="00FA329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216F81">
                    <w:rPr>
                      <w:b/>
                      <w:sz w:val="28"/>
                      <w:szCs w:val="28"/>
                      <w:lang w:val="fr-FR"/>
                    </w:rPr>
                    <w:t>Je me promène dans Paris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8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216F81">
                    <w:rPr>
                      <w:sz w:val="28"/>
                      <w:szCs w:val="28"/>
                      <w:lang w:val="fr-FR"/>
                    </w:rPr>
                    <w:t>Le vocabulaire thématique «rue, place»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40"/>
              </w:trPr>
              <w:tc>
                <w:tcPr>
                  <w:tcW w:w="648" w:type="dxa"/>
                </w:tcPr>
                <w:p w:rsidR="00FA3293" w:rsidRPr="00216F81" w:rsidRDefault="00FA3293" w:rsidP="00FA32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923" w:type="dxa"/>
                </w:tcPr>
                <w:p w:rsidR="00FA3293" w:rsidRPr="00216F81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216F81">
                    <w:rPr>
                      <w:sz w:val="28"/>
                      <w:szCs w:val="28"/>
                      <w:lang w:val="fr-FR"/>
                    </w:rPr>
                    <w:t>Le vocabulaire thématique «transports»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3</w:t>
                  </w:r>
                  <w:r w:rsidRPr="000A2AE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«curiosités»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14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3</w:t>
                  </w:r>
                  <w:r w:rsidRPr="000A2AE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«ville, quartier»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923" w:type="dxa"/>
                </w:tcPr>
                <w:p w:rsidR="00FA3293" w:rsidRPr="0072490E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72490E">
                    <w:rPr>
                      <w:sz w:val="28"/>
                      <w:szCs w:val="28"/>
                      <w:lang w:val="fr-FR"/>
                    </w:rPr>
                    <w:t>Reportage «On part à la découverte du Quartier Latin»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3</w:t>
                  </w:r>
                  <w:r w:rsidRPr="000A2AE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part à la découverte du Quartier Latin»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part à la découverte du Quartier Latin»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Pronoms relatifs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4</w:t>
                  </w:r>
                  <w:r w:rsidRPr="000A2AE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Pronoms relatifs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6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4</w:t>
                  </w:r>
                  <w:r w:rsidRPr="000A2AE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Grammaire Subjonctif</w:t>
                  </w:r>
                  <w:r w:rsidRPr="00216F81">
                    <w:rPr>
                      <w:sz w:val="28"/>
                      <w:szCs w:val="28"/>
                    </w:rPr>
                    <w:t>présent.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16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Subjonctif</w:t>
                  </w:r>
                  <w:r w:rsidRPr="00216F81">
                    <w:rPr>
                      <w:sz w:val="28"/>
                      <w:szCs w:val="28"/>
                      <w:lang w:val="fr-FR"/>
                    </w:rPr>
                    <w:t>présent.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187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lastRenderedPageBreak/>
                    <w:t>45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en-US"/>
                    </w:rPr>
                    <w:t xml:space="preserve">Civilisation </w:t>
                  </w:r>
                  <w:r w:rsidRPr="000A2AE3">
                    <w:rPr>
                      <w:sz w:val="28"/>
                      <w:szCs w:val="28"/>
                    </w:rPr>
                    <w:t>«</w:t>
                  </w:r>
                  <w:r w:rsidRPr="000A2AE3">
                    <w:rPr>
                      <w:sz w:val="28"/>
                      <w:szCs w:val="28"/>
                      <w:lang w:val="en-US"/>
                    </w:rPr>
                    <w:t>Les Quartier Latin</w:t>
                  </w:r>
                  <w:r w:rsidRPr="000A2AE3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20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923" w:type="dxa"/>
                </w:tcPr>
                <w:p w:rsidR="00FA3293" w:rsidRPr="0072490E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 «Montmartre</w:t>
                  </w:r>
                  <w:r w:rsidRPr="0072490E">
                    <w:rPr>
                      <w:sz w:val="28"/>
                      <w:szCs w:val="28"/>
                      <w:lang w:val="fr-FR"/>
                    </w:rPr>
                    <w:t>» «Le métro parisien»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259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 xml:space="preserve">Français pratique </w:t>
                  </w:r>
                  <w:r w:rsidRPr="000A2AE3">
                    <w:rPr>
                      <w:sz w:val="28"/>
                      <w:szCs w:val="28"/>
                    </w:rPr>
                    <w:t>«</w:t>
                  </w:r>
                  <w:r w:rsidRPr="000A2AE3">
                    <w:rPr>
                      <w:sz w:val="28"/>
                      <w:szCs w:val="28"/>
                      <w:lang w:val="fr-FR"/>
                    </w:rPr>
                    <w:t>A Paris</w:t>
                  </w:r>
                  <w:r w:rsidRPr="000A2AE3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4</w:t>
                  </w:r>
                  <w:r w:rsidRPr="000A2AE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923" w:type="dxa"/>
                </w:tcPr>
                <w:p w:rsidR="00FA3293" w:rsidRPr="0072490E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72490E">
                    <w:rPr>
                      <w:sz w:val="28"/>
                      <w:szCs w:val="28"/>
                      <w:lang w:val="fr-FR"/>
                    </w:rPr>
                    <w:t>Je lis la presse pour… traduire «Centenaire du métro»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4</w:t>
                  </w:r>
                  <w:r w:rsidRPr="000A2AE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923" w:type="dxa"/>
                </w:tcPr>
                <w:p w:rsidR="00FA3293" w:rsidRPr="0072490E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72490E">
                    <w:rPr>
                      <w:sz w:val="28"/>
                      <w:szCs w:val="28"/>
                      <w:lang w:val="fr-FR"/>
                    </w:rPr>
                    <w:t>Plaisir de lire. «Les lettres de Paris»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A2AE3">
                    <w:rPr>
                      <w:sz w:val="28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8923" w:type="dxa"/>
                </w:tcPr>
                <w:p w:rsidR="00FA3293" w:rsidRPr="0072490E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72490E">
                    <w:rPr>
                      <w:sz w:val="28"/>
                      <w:szCs w:val="28"/>
                      <w:lang w:val="fr-FR"/>
                    </w:rPr>
                    <w:t>Plaisir de lire. «Les lettres de Paris»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A2AE3">
                    <w:rPr>
                      <w:sz w:val="28"/>
                      <w:szCs w:val="28"/>
                      <w:lang w:val="en-US"/>
                    </w:rPr>
                    <w:t>51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«Paris»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2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A2AE3">
                    <w:rPr>
                      <w:sz w:val="28"/>
                      <w:szCs w:val="28"/>
                      <w:lang w:val="en-US"/>
                    </w:rPr>
                    <w:t>52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«Paris»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2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b/>
                      <w:sz w:val="28"/>
                      <w:szCs w:val="28"/>
                      <w:lang w:val="fr-FR"/>
                    </w:rPr>
                    <w:t>Je visite un musée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5</w:t>
                  </w:r>
                  <w:r w:rsidRPr="000A2AE3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 xml:space="preserve">Le vocabulaire thématique «musée, exposition» 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5</w:t>
                  </w:r>
                  <w:r w:rsidRPr="000A2AE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C132DF">
                    <w:rPr>
                      <w:sz w:val="28"/>
                      <w:szCs w:val="28"/>
                      <w:lang w:val="fr-FR"/>
                    </w:rPr>
                    <w:t xml:space="preserve">Le vocabulaire thématique «tableau, image»  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5</w:t>
                  </w:r>
                  <w:r w:rsidRPr="000A2AE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C132DF">
                    <w:rPr>
                      <w:sz w:val="28"/>
                      <w:szCs w:val="28"/>
                      <w:lang w:val="fr-FR"/>
                    </w:rPr>
                    <w:t>Le vocabulaire thématique «objets d’art, artiste, peintre»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56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 xml:space="preserve">Reportage «On admire les chefs – d’ouevre des musée français» 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57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admire les chefs – d’ouevre des musée français»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58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Les exercices d’apres le reportage «On admire les chefs – d’ouevre des musée français»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59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Pronom «y»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6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Pronom «en»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49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Pronoms «en» «y»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 «Les musées français»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Français pratique «Dans un musée» 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 xml:space="preserve">Je lis la presse pour... préparer un rapport «Le Centre Pompidou» 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Je lis la presse pour... préparer un rapport «Le Centre Pompidou»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 «La fille qui parlait aux tableaux»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lastRenderedPageBreak/>
                    <w:t>67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 «La fille qui parlait aux tableaux»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«Au musée d’Orsay»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28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69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«Au musée d’Orsay»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6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b/>
                      <w:sz w:val="28"/>
                      <w:szCs w:val="28"/>
                      <w:lang w:val="fr-FR"/>
                    </w:rPr>
                    <w:t>Je vais au cinéma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«film»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«acteur, métiers du cinéma»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«sortie au cinéma»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découvre ce que c’est qu’un multiplexe»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découvre ce que c’est qu’un multiplexe»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découvre ce que c’est qu’un multiplexe»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 «Le 53 Festival de Cannes»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 «Les films français, les vedettes du cinéma français»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«Accord du participe passé»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7</w:t>
                  </w:r>
                  <w:r w:rsidRPr="000A2AE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 Proposition infinitive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</w:rPr>
                  </w:pPr>
                  <w:r w:rsidRPr="000A2AE3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Français pratique. «Le cinéma. Le film».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Je lis la presse pour... me renseigner. «Astérix et Obélix».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 «Florence débute au cinéma»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 «Florence débute au cinéma»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«Au cinéma»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rPr>
                <w:trHeight w:val="30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«Au cinéma»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rPr>
                <w:trHeight w:val="340"/>
              </w:trPr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b/>
                      <w:sz w:val="28"/>
                      <w:szCs w:val="28"/>
                      <w:lang w:val="fr-FR"/>
                    </w:rPr>
                    <w:t>Je visite des endroits historiques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«château»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«roi, empereur, souverain»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88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Le vocabulaire thématique «révolution, guerre»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lastRenderedPageBreak/>
                    <w:t>89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se plonge dans l’histoire de France»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se plonge dans l’histoire de France»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Reportage «On se plonge dans l’histoire de France»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Grammaire. Les numéraux cardinaux et ordinaux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93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Grammaire. Noms propres (noms de personnes) au pluriel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94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Grammaire. Le passé immédiat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95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Civilisation. «Les rois de France»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96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Français pratique. «Visite des endroits historiques»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97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Français pratique. «Visite des endroits historiques»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98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Je lis la presse pour... mieux connaître l’histoire «Catherine de Médicis, reine de France».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99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Plaisir de lire. L’extrait du roman d’Alexandre Dumas «Le reine Margot»</w:t>
                  </w:r>
                </w:p>
              </w:tc>
            </w:tr>
            <w:tr w:rsidR="00FA3293" w:rsidRPr="000A2AE3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100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Le travail de controle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101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«Les monuments historiques français»</w:t>
                  </w:r>
                </w:p>
              </w:tc>
            </w:tr>
            <w:tr w:rsidR="00FA3293" w:rsidRPr="00F30D61" w:rsidTr="00F60F6C">
              <w:tblPrEx>
                <w:tblLook w:val="01E0"/>
              </w:tblPrEx>
              <w:tc>
                <w:tcPr>
                  <w:tcW w:w="648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102</w:t>
                  </w:r>
                </w:p>
              </w:tc>
              <w:tc>
                <w:tcPr>
                  <w:tcW w:w="8923" w:type="dxa"/>
                </w:tcPr>
                <w:p w:rsidR="00FA3293" w:rsidRPr="000A2AE3" w:rsidRDefault="00FA3293" w:rsidP="00FA329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0A2AE3">
                    <w:rPr>
                      <w:sz w:val="28"/>
                      <w:szCs w:val="28"/>
                      <w:lang w:val="fr-FR"/>
                    </w:rPr>
                    <w:t>Interview «Les monuments historiques français»</w:t>
                  </w:r>
                </w:p>
              </w:tc>
            </w:tr>
          </w:tbl>
          <w:p w:rsidR="00FA3293" w:rsidRPr="000A2AE3" w:rsidRDefault="00FA3293" w:rsidP="00FA3293">
            <w:pPr>
              <w:rPr>
                <w:sz w:val="28"/>
                <w:szCs w:val="28"/>
                <w:lang w:val="fr-FR"/>
              </w:rPr>
            </w:pPr>
          </w:p>
          <w:p w:rsidR="00FA3293" w:rsidRPr="0072490E" w:rsidRDefault="00FA3293" w:rsidP="00FA3293">
            <w:pPr>
              <w:rPr>
                <w:b/>
                <w:sz w:val="28"/>
                <w:szCs w:val="28"/>
                <w:lang w:val="fr-FR"/>
              </w:rPr>
            </w:pPr>
            <w:r w:rsidRPr="000A2AE3">
              <w:rPr>
                <w:b/>
                <w:sz w:val="28"/>
                <w:szCs w:val="28"/>
                <w:lang w:val="fr-FR"/>
              </w:rPr>
              <w:t>N. Sélivanova, A. Chachourina. Méthode de français  «L’oiseau bleu» 9</w:t>
            </w:r>
            <w:r w:rsidRPr="0072490E">
              <w:rPr>
                <w:b/>
                <w:sz w:val="28"/>
                <w:szCs w:val="28"/>
                <w:lang w:val="fr-FR"/>
              </w:rPr>
              <w:t>.</w:t>
            </w:r>
          </w:p>
          <w:p w:rsidR="00FA3293" w:rsidRPr="0072490E" w:rsidRDefault="00FA3293" w:rsidP="00FA3293">
            <w:pPr>
              <w:rPr>
                <w:b/>
                <w:sz w:val="28"/>
                <w:szCs w:val="28"/>
                <w:lang w:val="fr-FR"/>
              </w:rPr>
            </w:pPr>
          </w:p>
          <w:p w:rsidR="008861AB" w:rsidRPr="00FA3293" w:rsidRDefault="008861AB" w:rsidP="004F50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</w:pPr>
          </w:p>
          <w:p w:rsidR="007E6151" w:rsidRPr="00FA3293" w:rsidRDefault="007E6151" w:rsidP="004F5050">
            <w:pPr>
              <w:widowControl w:val="0"/>
              <w:shd w:val="clear" w:color="auto" w:fill="FFFFFF"/>
              <w:snapToGri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  <w:p w:rsidR="007E6151" w:rsidRPr="00FA3293" w:rsidRDefault="007E6151" w:rsidP="004F505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fr-FR" w:eastAsia="ru-RU"/>
              </w:rPr>
            </w:pPr>
          </w:p>
        </w:tc>
      </w:tr>
    </w:tbl>
    <w:p w:rsidR="007E6151" w:rsidRPr="00FA3293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:rsidR="007E6151" w:rsidRPr="00FA3293" w:rsidRDefault="007E6151" w:rsidP="004F5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:rsidR="003831A6" w:rsidRPr="00FA3293" w:rsidRDefault="003831A6" w:rsidP="004F5050">
      <w:pPr>
        <w:spacing w:after="0" w:line="240" w:lineRule="auto"/>
        <w:ind w:firstLine="567"/>
        <w:jc w:val="both"/>
        <w:rPr>
          <w:lang w:val="fr-FR"/>
        </w:rPr>
      </w:pPr>
    </w:p>
    <w:sectPr w:rsidR="003831A6" w:rsidRPr="00FA3293" w:rsidSect="004F50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AD" w:rsidRDefault="00424DAD" w:rsidP="004F5050">
      <w:pPr>
        <w:spacing w:after="0" w:line="240" w:lineRule="auto"/>
      </w:pPr>
      <w:r>
        <w:separator/>
      </w:r>
    </w:p>
  </w:endnote>
  <w:endnote w:type="continuationSeparator" w:id="1">
    <w:p w:rsidR="00424DAD" w:rsidRDefault="00424DAD" w:rsidP="004F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AD" w:rsidRDefault="00424DAD" w:rsidP="004F5050">
      <w:pPr>
        <w:spacing w:after="0" w:line="240" w:lineRule="auto"/>
      </w:pPr>
      <w:r>
        <w:separator/>
      </w:r>
    </w:p>
  </w:footnote>
  <w:footnote w:type="continuationSeparator" w:id="1">
    <w:p w:rsidR="00424DAD" w:rsidRDefault="00424DAD" w:rsidP="004F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4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E52141"/>
    <w:multiLevelType w:val="singleLevel"/>
    <w:tmpl w:val="DE9EEA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27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B800143"/>
    <w:multiLevelType w:val="singleLevel"/>
    <w:tmpl w:val="DE9EEA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42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0217AD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"/>
    <w:lvlOverride w:ilvl="0">
      <w:startOverride w:val="1"/>
    </w:lvlOverride>
  </w:num>
  <w:num w:numId="4">
    <w:abstractNumId w:val="28"/>
  </w:num>
  <w:num w:numId="5">
    <w:abstractNumId w:val="33"/>
  </w:num>
  <w:num w:numId="6">
    <w:abstractNumId w:val="19"/>
  </w:num>
  <w:num w:numId="7">
    <w:abstractNumId w:val="25"/>
  </w:num>
  <w:num w:numId="8">
    <w:abstractNumId w:val="36"/>
  </w:num>
  <w:num w:numId="9">
    <w:abstractNumId w:val="7"/>
  </w:num>
  <w:num w:numId="10">
    <w:abstractNumId w:val="5"/>
  </w:num>
  <w:num w:numId="11">
    <w:abstractNumId w:val="21"/>
  </w:num>
  <w:num w:numId="12">
    <w:abstractNumId w:val="34"/>
  </w:num>
  <w:num w:numId="13">
    <w:abstractNumId w:val="50"/>
  </w:num>
  <w:num w:numId="14">
    <w:abstractNumId w:val="9"/>
  </w:num>
  <w:num w:numId="15">
    <w:abstractNumId w:val="6"/>
  </w:num>
  <w:num w:numId="16">
    <w:abstractNumId w:val="11"/>
  </w:num>
  <w:num w:numId="17">
    <w:abstractNumId w:val="43"/>
  </w:num>
  <w:num w:numId="18">
    <w:abstractNumId w:val="32"/>
  </w:num>
  <w:num w:numId="19">
    <w:abstractNumId w:val="12"/>
  </w:num>
  <w:num w:numId="20">
    <w:abstractNumId w:val="18"/>
  </w:num>
  <w:num w:numId="21">
    <w:abstractNumId w:val="46"/>
  </w:num>
  <w:num w:numId="22">
    <w:abstractNumId w:val="44"/>
  </w:num>
  <w:num w:numId="23">
    <w:abstractNumId w:val="3"/>
  </w:num>
  <w:num w:numId="24">
    <w:abstractNumId w:val="20"/>
  </w:num>
  <w:num w:numId="25">
    <w:abstractNumId w:val="49"/>
  </w:num>
  <w:num w:numId="26">
    <w:abstractNumId w:val="42"/>
  </w:num>
  <w:num w:numId="27">
    <w:abstractNumId w:val="53"/>
  </w:num>
  <w:num w:numId="28">
    <w:abstractNumId w:val="26"/>
    <w:lvlOverride w:ilvl="0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0">
    <w:abstractNumId w:val="26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9"/>
  </w:num>
  <w:num w:numId="32">
    <w:abstractNumId w:val="2"/>
  </w:num>
  <w:num w:numId="33">
    <w:abstractNumId w:val="15"/>
  </w:num>
  <w:num w:numId="34">
    <w:abstractNumId w:val="4"/>
  </w:num>
  <w:num w:numId="35">
    <w:abstractNumId w:val="23"/>
  </w:num>
  <w:num w:numId="36">
    <w:abstractNumId w:val="14"/>
  </w:num>
  <w:num w:numId="37">
    <w:abstractNumId w:val="52"/>
  </w:num>
  <w:num w:numId="38">
    <w:abstractNumId w:val="24"/>
  </w:num>
  <w:num w:numId="39">
    <w:abstractNumId w:val="16"/>
  </w:num>
  <w:num w:numId="40">
    <w:abstractNumId w:val="30"/>
  </w:num>
  <w:num w:numId="41">
    <w:abstractNumId w:val="27"/>
  </w:num>
  <w:num w:numId="42">
    <w:abstractNumId w:val="37"/>
  </w:num>
  <w:num w:numId="43">
    <w:abstractNumId w:val="22"/>
  </w:num>
  <w:num w:numId="44">
    <w:abstractNumId w:val="51"/>
  </w:num>
  <w:num w:numId="45">
    <w:abstractNumId w:val="47"/>
  </w:num>
  <w:num w:numId="46">
    <w:abstractNumId w:val="31"/>
  </w:num>
  <w:num w:numId="47">
    <w:abstractNumId w:val="17"/>
  </w:num>
  <w:num w:numId="48">
    <w:abstractNumId w:val="40"/>
  </w:num>
  <w:num w:numId="49">
    <w:abstractNumId w:val="45"/>
  </w:num>
  <w:num w:numId="50">
    <w:abstractNumId w:val="38"/>
  </w:num>
  <w:num w:numId="51">
    <w:abstractNumId w:val="10"/>
  </w:num>
  <w:num w:numId="52">
    <w:abstractNumId w:val="35"/>
  </w:num>
  <w:num w:numId="53">
    <w:abstractNumId w:val="48"/>
  </w:num>
  <w:num w:numId="54">
    <w:abstractNumId w:val="41"/>
    <w:lvlOverride w:ilvl="0">
      <w:startOverride w:val="1"/>
    </w:lvlOverride>
  </w:num>
  <w:num w:numId="55">
    <w:abstractNumId w:val="4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19"/>
    <w:rsid w:val="00002990"/>
    <w:rsid w:val="000557E3"/>
    <w:rsid w:val="000A5B3D"/>
    <w:rsid w:val="000C39FC"/>
    <w:rsid w:val="00122CDA"/>
    <w:rsid w:val="00163F82"/>
    <w:rsid w:val="002239A7"/>
    <w:rsid w:val="00251119"/>
    <w:rsid w:val="002D517C"/>
    <w:rsid w:val="003831A6"/>
    <w:rsid w:val="00424DAD"/>
    <w:rsid w:val="00445F2F"/>
    <w:rsid w:val="004D2C2B"/>
    <w:rsid w:val="004F5050"/>
    <w:rsid w:val="00526379"/>
    <w:rsid w:val="00555002"/>
    <w:rsid w:val="005714B1"/>
    <w:rsid w:val="005B189A"/>
    <w:rsid w:val="0063703E"/>
    <w:rsid w:val="006E067D"/>
    <w:rsid w:val="007127ED"/>
    <w:rsid w:val="007E6151"/>
    <w:rsid w:val="00830AFB"/>
    <w:rsid w:val="008363B6"/>
    <w:rsid w:val="008861AB"/>
    <w:rsid w:val="00904F2A"/>
    <w:rsid w:val="00953CE5"/>
    <w:rsid w:val="00AE0981"/>
    <w:rsid w:val="00C1333C"/>
    <w:rsid w:val="00C94BCD"/>
    <w:rsid w:val="00D34CA6"/>
    <w:rsid w:val="00D363B0"/>
    <w:rsid w:val="00ED0241"/>
    <w:rsid w:val="00F16ABE"/>
    <w:rsid w:val="00F47FB9"/>
    <w:rsid w:val="00FA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50"/>
  </w:style>
  <w:style w:type="paragraph" w:styleId="a5">
    <w:name w:val="footer"/>
    <w:basedOn w:val="a"/>
    <w:link w:val="a6"/>
    <w:uiPriority w:val="99"/>
    <w:unhideWhenUsed/>
    <w:rsid w:val="004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50"/>
  </w:style>
  <w:style w:type="paragraph" w:styleId="a7">
    <w:name w:val="Balloon Text"/>
    <w:basedOn w:val="a"/>
    <w:link w:val="a8"/>
    <w:uiPriority w:val="99"/>
    <w:semiHidden/>
    <w:unhideWhenUsed/>
    <w:rsid w:val="00F4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50"/>
  </w:style>
  <w:style w:type="paragraph" w:styleId="a5">
    <w:name w:val="footer"/>
    <w:basedOn w:val="a"/>
    <w:link w:val="a6"/>
    <w:uiPriority w:val="99"/>
    <w:unhideWhenUsed/>
    <w:rsid w:val="004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2960-48B1-419C-9EA8-900FE62F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7981</Words>
  <Characters>45496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комп 2</cp:lastModifiedBy>
  <cp:revision>17</cp:revision>
  <dcterms:created xsi:type="dcterms:W3CDTF">2015-02-12T13:20:00Z</dcterms:created>
  <dcterms:modified xsi:type="dcterms:W3CDTF">2018-11-02T05:28:00Z</dcterms:modified>
</cp:coreProperties>
</file>